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025B7B" w:rsidP="00582483">
      <w:pPr>
        <w:jc w:val="both"/>
      </w:pPr>
      <w:r>
        <w:t>Data: 16</w:t>
      </w:r>
      <w:r w:rsidR="006F772A">
        <w:t>/0</w:t>
      </w:r>
      <w:r w:rsidR="00AD5FA3">
        <w:t>9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661B5" w:rsidRPr="00025B7B" w:rsidRDefault="00025B7B" w:rsidP="00025B7B">
      <w:pPr>
        <w:pStyle w:val="PargrafodaLista"/>
        <w:numPr>
          <w:ilvl w:val="0"/>
          <w:numId w:val="28"/>
        </w:numPr>
        <w:jc w:val="both"/>
      </w:pPr>
      <w:r w:rsidRPr="00025B7B">
        <w:rPr>
          <w:bCs/>
        </w:rPr>
        <w:t>Projeto de Lei Complementar nº 002/2024, de autoria do Poder Executivo que “Dispõe sobre o plano de amortização do déficit atuarial do Regime Próprio de Previdência Social – RPPS do Município de Ernestina; altera o § 7º do art. 18 da Lei Complementar n. 032/2022, e dá outras providências.”.</w:t>
      </w:r>
    </w:p>
    <w:p w:rsidR="00025B7B" w:rsidRDefault="00025B7B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8E" w:rsidRDefault="002B778E" w:rsidP="001D6216">
      <w:pPr>
        <w:spacing w:after="0" w:line="240" w:lineRule="auto"/>
      </w:pPr>
      <w:r>
        <w:separator/>
      </w:r>
    </w:p>
  </w:endnote>
  <w:endnote w:type="continuationSeparator" w:id="0">
    <w:p w:rsidR="002B778E" w:rsidRDefault="002B778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8E" w:rsidRDefault="002B778E" w:rsidP="001D6216">
      <w:pPr>
        <w:spacing w:after="0" w:line="240" w:lineRule="auto"/>
      </w:pPr>
      <w:r>
        <w:separator/>
      </w:r>
    </w:p>
  </w:footnote>
  <w:footnote w:type="continuationSeparator" w:id="0">
    <w:p w:rsidR="002B778E" w:rsidRDefault="002B778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300E7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A2A1B"/>
    <w:rsid w:val="00BB4F99"/>
    <w:rsid w:val="00BC162F"/>
    <w:rsid w:val="00C661B5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B3C40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2021-10-07T17:46:00Z</dcterms:created>
  <dcterms:modified xsi:type="dcterms:W3CDTF">2024-09-17T19:43:00Z</dcterms:modified>
</cp:coreProperties>
</file>